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345673" w:rsidRPr="00345673" w:rsidRDefault="004C6260" w:rsidP="0034567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45673" w:rsidRPr="00345673">
              <w:rPr>
                <w:rFonts w:ascii="Times New Roman" w:hAnsi="Times New Roman"/>
                <w:b/>
                <w:sz w:val="28"/>
                <w:szCs w:val="28"/>
              </w:rPr>
              <w:t>157/ГЭС розница/14.10.2019/</w:t>
            </w:r>
            <w:proofErr w:type="spellStart"/>
            <w:r w:rsidR="00345673" w:rsidRPr="00345673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DC2244" w:rsidRPr="00DC22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5673" w:rsidRPr="00345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Демонтаж (снос) объектов капитального строительства, принадлежащих Заказчику: </w:t>
            </w:r>
          </w:p>
          <w:p w:rsidR="00345673" w:rsidRPr="00345673" w:rsidRDefault="00345673" w:rsidP="0034567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Объект № 1: незавершенный строительством склад, расположенный по адресу: Оренбургская область, Переволоцкий р-н, 46-й км автотрассы «Оренбург-Самара» (на территории АЗС № 85);  </w:t>
            </w:r>
          </w:p>
          <w:p w:rsidR="00A01B39" w:rsidRPr="00ED1FF9" w:rsidRDefault="00345673" w:rsidP="0034567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Объект № 2: незавершенное строительством здание мойки АЗС, расположенное по адресу: Оренбургская область, г. Оренбург, ул. </w:t>
            </w:r>
            <w:proofErr w:type="spellStart"/>
            <w:r w:rsidRPr="00345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Донгузская</w:t>
            </w:r>
            <w:proofErr w:type="spellEnd"/>
            <w:r w:rsidRPr="00345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 районе поста ГИБДД (на территории АЗС № 89)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447B4A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345673" w:rsidRPr="00345673" w:rsidRDefault="00A01B39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21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45673" w:rsidRPr="0034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157/ГЭС розница/14.10.2019/</w:t>
      </w:r>
      <w:proofErr w:type="spellStart"/>
      <w:r w:rsidR="00345673" w:rsidRPr="0034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4C6260" w:rsidRPr="004C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673"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(снос) объектов капитального строительства, принадлежащих Заказчику: </w:t>
      </w:r>
    </w:p>
    <w:p w:rsidR="00345673" w:rsidRPr="00345673" w:rsidRDefault="00345673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 № 1: незавершенный строительством склад, расположенный по адресу: Оренбургская область, Переволоцкий р-н, 46-й км автотрассы «Оренбург-Самара» (на территории АЗС № 85);  </w:t>
      </w:r>
    </w:p>
    <w:p w:rsidR="00A01B39" w:rsidRPr="00FF57E9" w:rsidRDefault="00345673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 № 2: незавершенное строительством здание мойки АЗС, расположенное по адресу: Оренбургская область, г. Оренбург, ул. </w:t>
      </w:r>
      <w:proofErr w:type="spellStart"/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Донгузская</w:t>
      </w:r>
      <w:proofErr w:type="spellEnd"/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поста ГИБДД (на территории АЗС № 89)</w:t>
      </w:r>
      <w:r w:rsidR="00FA40BA" w:rsidRP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B39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0457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22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="00A01B39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1B39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345673" w:rsidRPr="00345673" w:rsidRDefault="00A01B39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345673"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(снос) объектов капитального строительства, принадлежащих Заказчику: </w:t>
      </w:r>
    </w:p>
    <w:p w:rsidR="00345673" w:rsidRPr="00345673" w:rsidRDefault="00345673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 № 1: незавершенный строительством склад, расположенный по адресу: Оренбургская область, Переволоцкий р-н, 46-й км автотрассы «Оренбург-Самара» (на территории АЗС № 85);  </w:t>
      </w:r>
    </w:p>
    <w:p w:rsidR="00A42A8C" w:rsidRPr="00FF57E9" w:rsidRDefault="00345673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Объект № 2: незавершенное строительством здание мойки АЗС, расположенное по адресу: Оренбургская область, г. Оренбург, ул. </w:t>
      </w:r>
      <w:proofErr w:type="spellStart"/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Донгузская</w:t>
      </w:r>
      <w:proofErr w:type="spellEnd"/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поста ГИБДД (на территории АЗС № 89)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673" w:rsidRPr="00345673" w:rsidRDefault="00A01B39" w:rsidP="00345673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bCs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345673" w:rsidRPr="00345673">
        <w:rPr>
          <w:rFonts w:ascii="Times New Roman" w:hAnsi="Times New Roman"/>
          <w:bCs/>
          <w:sz w:val="28"/>
          <w:szCs w:val="28"/>
        </w:rPr>
        <w:t>1 456 565 (один миллион четыреста пятьдесят шесть тысяч пятьсот шестьдесят пять) рублей 11</w:t>
      </w:r>
      <w:r w:rsidR="003A4FA4">
        <w:rPr>
          <w:rFonts w:ascii="Times New Roman" w:hAnsi="Times New Roman"/>
          <w:bCs/>
          <w:sz w:val="28"/>
          <w:szCs w:val="28"/>
        </w:rPr>
        <w:t xml:space="preserve"> копеек </w:t>
      </w:r>
      <w:bookmarkStart w:id="0" w:name="_GoBack"/>
      <w:bookmarkEnd w:id="0"/>
      <w:r w:rsidR="00345673" w:rsidRPr="00345673">
        <w:rPr>
          <w:rFonts w:ascii="Times New Roman" w:hAnsi="Times New Roman"/>
          <w:bCs/>
          <w:sz w:val="28"/>
          <w:szCs w:val="28"/>
        </w:rPr>
        <w:t>или 1 213 804 (один миллион двести тринадцать тысяч восемьсот четыре) рубля 26 копеек без НДС.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ED75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345673" w:rsidRPr="00345673" w:rsidRDefault="00345673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Перенести срок подведения итогов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="00A42A8C"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1E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45673">
        <w:rPr>
          <w:rFonts w:ascii="Times New Roman" w:eastAsia="Times New Roman" w:hAnsi="Times New Roman" w:cs="Times New Roman"/>
          <w:b/>
          <w:sz w:val="28"/>
          <w:szCs w:val="28"/>
        </w:rPr>
        <w:t>157/ГЭС розница/14.10.2019/</w:t>
      </w:r>
      <w:proofErr w:type="spellStart"/>
      <w:r w:rsidRPr="00345673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="00A42A8C"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(снос) объектов капитального строительства, принадлежащих Заказчику: </w:t>
      </w:r>
    </w:p>
    <w:p w:rsidR="00345673" w:rsidRPr="00345673" w:rsidRDefault="00345673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 № 1: незавершенный строительством склад, расположенный по адресу: Оренбургская область, Переволоцкий р-н, 46-й км автотрассы «Оренбург-Самара» (на территории АЗС № 85);  </w:t>
      </w:r>
    </w:p>
    <w:p w:rsidR="006A2905" w:rsidRDefault="00345673" w:rsidP="0034567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 № 2: незавершенное строительством здание мойки АЗС, расположенное по адресу: Оренбургская область, г. Оренбург, ул. </w:t>
      </w:r>
      <w:proofErr w:type="spellStart"/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Донгузская</w:t>
      </w:r>
      <w:proofErr w:type="spellEnd"/>
      <w:r w:rsidRP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поста ГИБДД (на территории АЗС № 89)</w:t>
      </w:r>
      <w:r w:rsidR="00FA40BA" w:rsidRP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2244" w:rsidRPr="00D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22.11.2019г. 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п.9.9.1 Положения о закупках товаров, работ услуг ООО «ГЭС розница»</w:t>
      </w:r>
      <w:r w:rsidR="0044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0BA" w:rsidRDefault="00FA40BA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0BA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4C6260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48/</w:t>
                          </w:r>
                          <w:r w:rsidR="0034567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4C6260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48/</w:t>
                    </w:r>
                    <w:r w:rsidR="00345673">
                      <w:rPr>
                        <w:color w:val="0D0D0D" w:themeColor="text1" w:themeTint="F2"/>
                        <w:sz w:val="24"/>
                        <w:szCs w:val="24"/>
                      </w:rPr>
                      <w:t>8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71F2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15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20457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ноября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2121E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71F23">
                      <w:rPr>
                        <w:color w:val="0D0D0D" w:themeColor="text1" w:themeTint="F2"/>
                        <w:sz w:val="24"/>
                        <w:szCs w:val="24"/>
                      </w:rPr>
                      <w:t>15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20457E">
                      <w:rPr>
                        <w:color w:val="0D0D0D" w:themeColor="text1" w:themeTint="F2"/>
                        <w:sz w:val="24"/>
                        <w:szCs w:val="24"/>
                      </w:rPr>
                      <w:t>ноября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2121E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71F23"/>
    <w:rsid w:val="000B2D2F"/>
    <w:rsid w:val="000C08E8"/>
    <w:rsid w:val="000C62DC"/>
    <w:rsid w:val="00114316"/>
    <w:rsid w:val="001209DD"/>
    <w:rsid w:val="00176868"/>
    <w:rsid w:val="001B3BC8"/>
    <w:rsid w:val="001F3771"/>
    <w:rsid w:val="0020457E"/>
    <w:rsid w:val="0020600B"/>
    <w:rsid w:val="002121EB"/>
    <w:rsid w:val="0025768F"/>
    <w:rsid w:val="002605F2"/>
    <w:rsid w:val="002A0428"/>
    <w:rsid w:val="002D3353"/>
    <w:rsid w:val="002F1A38"/>
    <w:rsid w:val="00345673"/>
    <w:rsid w:val="003A4FA4"/>
    <w:rsid w:val="003E281B"/>
    <w:rsid w:val="004048B7"/>
    <w:rsid w:val="00447B4A"/>
    <w:rsid w:val="00452F5B"/>
    <w:rsid w:val="0045535F"/>
    <w:rsid w:val="00455AC6"/>
    <w:rsid w:val="00457226"/>
    <w:rsid w:val="00492303"/>
    <w:rsid w:val="004B66D0"/>
    <w:rsid w:val="004C6260"/>
    <w:rsid w:val="004D05FE"/>
    <w:rsid w:val="00506678"/>
    <w:rsid w:val="005219DE"/>
    <w:rsid w:val="00586286"/>
    <w:rsid w:val="005B079F"/>
    <w:rsid w:val="005C2F36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C21BF"/>
    <w:rsid w:val="008D2AFA"/>
    <w:rsid w:val="008E5E61"/>
    <w:rsid w:val="00912647"/>
    <w:rsid w:val="009F6F9D"/>
    <w:rsid w:val="00A01B39"/>
    <w:rsid w:val="00A1515A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2244"/>
    <w:rsid w:val="00DC3237"/>
    <w:rsid w:val="00E3659C"/>
    <w:rsid w:val="00E411DD"/>
    <w:rsid w:val="00E700CD"/>
    <w:rsid w:val="00E8574C"/>
    <w:rsid w:val="00ED1FF9"/>
    <w:rsid w:val="00ED7544"/>
    <w:rsid w:val="00F056AA"/>
    <w:rsid w:val="00F25038"/>
    <w:rsid w:val="00F865E5"/>
    <w:rsid w:val="00F950AB"/>
    <w:rsid w:val="00FA40BA"/>
    <w:rsid w:val="00FA51D7"/>
    <w:rsid w:val="00FD16EC"/>
    <w:rsid w:val="00FD362D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DA00-5957-4A55-8160-E30D611C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59</cp:revision>
  <cp:lastPrinted>2019-04-19T13:10:00Z</cp:lastPrinted>
  <dcterms:created xsi:type="dcterms:W3CDTF">2017-04-20T14:26:00Z</dcterms:created>
  <dcterms:modified xsi:type="dcterms:W3CDTF">2019-11-15T13:53:00Z</dcterms:modified>
</cp:coreProperties>
</file>