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4048B7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>/ГЭС розница/27.09.2019/</w:t>
            </w:r>
            <w:proofErr w:type="spellStart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0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Поставка, монтаж и пусконаладочные работы холодильного и торгового оборудования для АЗС ООО ГЭС розница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142/ГЭС розница/27.09.2019/</w:t>
      </w:r>
      <w:proofErr w:type="spellStart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8B7" w:rsidRP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Поставка, монтаж и пусконаладочные работы холодильного и торгового оборудования для АЗС ООО ГЭС розница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3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048B7" w:rsidRP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Поставка, монтаж и пусконаладочные работы холодильного и торгового оборудования для АЗС ООО ГЭС розница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DE" w:rsidRPr="00B12E82" w:rsidRDefault="00A01B39" w:rsidP="004048B7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048B7" w:rsidRPr="004048B7">
        <w:rPr>
          <w:rFonts w:ascii="Times New Roman" w:hAnsi="Times New Roman"/>
          <w:sz w:val="28"/>
          <w:szCs w:val="28"/>
        </w:rPr>
        <w:t xml:space="preserve">6 216 475 (Шесть миллионов двести шестнадцать тысяч четыреста семьдесят пять) рублей 00 </w:t>
      </w:r>
      <w:proofErr w:type="gramStart"/>
      <w:r w:rsidR="004048B7" w:rsidRPr="004048B7">
        <w:rPr>
          <w:rFonts w:ascii="Times New Roman" w:hAnsi="Times New Roman"/>
          <w:sz w:val="28"/>
          <w:szCs w:val="28"/>
        </w:rPr>
        <w:t>коп.,</w:t>
      </w:r>
      <w:proofErr w:type="gramEnd"/>
      <w:r w:rsidR="004048B7" w:rsidRPr="004048B7">
        <w:rPr>
          <w:rFonts w:ascii="Times New Roman" w:hAnsi="Times New Roman"/>
          <w:sz w:val="28"/>
          <w:szCs w:val="28"/>
        </w:rPr>
        <w:t xml:space="preserve"> в том числе НДС 20% или цена без НДС 5 180 395 (Пять миллионов сто восемьдесят тысяч триста девяносто пять) рублей 83 копейки</w:t>
      </w:r>
      <w:r w:rsidR="000B2D2F">
        <w:rPr>
          <w:rFonts w:ascii="Times New Roman" w:hAnsi="Times New Roman"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</w:rPr>
        <w:t>142/ГЭС розница/27.09.2019/</w:t>
      </w:r>
      <w:proofErr w:type="spellStart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8B7" w:rsidRP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Поставка, монтаж и пусконаладочные работы холодильного и торгового оборудования для АЗС ООО </w:t>
      </w:r>
      <w:bookmarkStart w:id="0" w:name="_GoBack"/>
      <w:bookmarkEnd w:id="0"/>
      <w:r w:rsidR="004048B7" w:rsidRP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 розница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Компаний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48B7">
        <w:rPr>
          <w:rFonts w:ascii="Times New Roman" w:hAnsi="Times New Roman" w:cs="Times New Roman"/>
          <w:sz w:val="28"/>
          <w:szCs w:val="28"/>
          <w:lang w:eastAsia="ru-RU"/>
        </w:rPr>
        <w:t>Нисса-Дон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 </w:t>
      </w:r>
      <w:r w:rsid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25768F" w:rsidRP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>6 200 003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48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миллионов двести тысяч три рубля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00 копеек, в том числе НДС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61" w:rsidRPr="00452F5B" w:rsidRDefault="008E5E61" w:rsidP="0084014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43</w:t>
                          </w:r>
                          <w:r w:rsidR="004048B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/2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43</w:t>
                    </w:r>
                    <w:r w:rsidR="004048B7">
                      <w:rPr>
                        <w:color w:val="0D0D0D" w:themeColor="text1" w:themeTint="F2"/>
                        <w:sz w:val="24"/>
                        <w:szCs w:val="24"/>
                      </w:rPr>
                      <w:t>/2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048B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0B2D2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048B7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0B2D2F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E281B"/>
    <w:rsid w:val="004048B7"/>
    <w:rsid w:val="00452F5B"/>
    <w:rsid w:val="0045535F"/>
    <w:rsid w:val="00455AC6"/>
    <w:rsid w:val="00457226"/>
    <w:rsid w:val="00492303"/>
    <w:rsid w:val="004B66D0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564F-3FA9-48CF-B636-6E6D412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49</cp:revision>
  <cp:lastPrinted>2019-04-19T13:10:00Z</cp:lastPrinted>
  <dcterms:created xsi:type="dcterms:W3CDTF">2017-04-20T14:26:00Z</dcterms:created>
  <dcterms:modified xsi:type="dcterms:W3CDTF">2019-10-08T08:54:00Z</dcterms:modified>
</cp:coreProperties>
</file>